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27" w:rsidRDefault="001C4E27">
      <w:pPr>
        <w:rPr>
          <w:b/>
          <w:sz w:val="32"/>
          <w:szCs w:val="32"/>
        </w:rPr>
      </w:pPr>
      <w:r>
        <w:rPr>
          <w:noProof/>
          <w:lang w:eastAsia="en-GB"/>
        </w:rPr>
        <w:drawing>
          <wp:anchor distT="0" distB="0" distL="114300" distR="114300" simplePos="0" relativeHeight="251659264" behindDoc="1" locked="0" layoutInCell="1" allowOverlap="1" wp14:anchorId="658FEC56" wp14:editId="5D6A8332">
            <wp:simplePos x="0" y="0"/>
            <wp:positionH relativeFrom="margin">
              <wp:posOffset>152400</wp:posOffset>
            </wp:positionH>
            <wp:positionV relativeFrom="paragraph">
              <wp:posOffset>19050</wp:posOffset>
            </wp:positionV>
            <wp:extent cx="771525" cy="771525"/>
            <wp:effectExtent l="0" t="0" r="9525" b="9525"/>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rsidR="005B4263" w:rsidRDefault="00BF4587">
      <w:pPr>
        <w:rPr>
          <w:noProof/>
          <w:lang w:eastAsia="en-GB"/>
        </w:rPr>
      </w:pPr>
      <w:r>
        <w:rPr>
          <w:b/>
          <w:sz w:val="32"/>
          <w:szCs w:val="32"/>
        </w:rPr>
        <w:t xml:space="preserve">   </w:t>
      </w:r>
      <w:r w:rsidR="001C4E27" w:rsidRPr="001C4E27">
        <w:rPr>
          <w:b/>
          <w:sz w:val="32"/>
          <w:szCs w:val="32"/>
        </w:rPr>
        <w:t>Halla</w:t>
      </w:r>
      <w:r>
        <w:rPr>
          <w:b/>
          <w:sz w:val="32"/>
          <w:szCs w:val="32"/>
        </w:rPr>
        <w:t>ton CE Primary School COVID-19 Catch-Up Premium Plan</w:t>
      </w:r>
    </w:p>
    <w:p w:rsidR="001C4E27" w:rsidRDefault="001C4E27">
      <w:pPr>
        <w:rPr>
          <w:noProof/>
          <w:lang w:eastAsia="en-GB"/>
        </w:rPr>
      </w:pPr>
    </w:p>
    <w:tbl>
      <w:tblPr>
        <w:tblStyle w:val="TableGrid"/>
        <w:tblW w:w="0" w:type="auto"/>
        <w:tblLook w:val="04A0" w:firstRow="1" w:lastRow="0" w:firstColumn="1" w:lastColumn="0" w:noHBand="0" w:noVBand="1"/>
      </w:tblPr>
      <w:tblGrid>
        <w:gridCol w:w="2426"/>
        <w:gridCol w:w="1538"/>
        <w:gridCol w:w="3316"/>
        <w:gridCol w:w="2426"/>
        <w:gridCol w:w="2427"/>
        <w:gridCol w:w="2427"/>
      </w:tblGrid>
      <w:tr w:rsidR="001C4E27" w:rsidTr="001C4E27">
        <w:tc>
          <w:tcPr>
            <w:tcW w:w="14560" w:type="dxa"/>
            <w:gridSpan w:val="6"/>
            <w:shd w:val="clear" w:color="auto" w:fill="FF0000"/>
          </w:tcPr>
          <w:p w:rsidR="001C4E27" w:rsidRPr="001C4E27" w:rsidRDefault="001C4E27">
            <w:pPr>
              <w:rPr>
                <w:b/>
                <w:color w:val="FF0000"/>
                <w:sz w:val="32"/>
                <w:szCs w:val="32"/>
              </w:rPr>
            </w:pPr>
            <w:r w:rsidRPr="001C4E27">
              <w:rPr>
                <w:b/>
                <w:color w:val="FFFFFF" w:themeColor="background1"/>
                <w:sz w:val="32"/>
                <w:szCs w:val="32"/>
              </w:rPr>
              <w:t>Summary information</w:t>
            </w:r>
          </w:p>
        </w:tc>
      </w:tr>
      <w:tr w:rsidR="001C4E27" w:rsidTr="001C4E27">
        <w:tc>
          <w:tcPr>
            <w:tcW w:w="14560" w:type="dxa"/>
            <w:gridSpan w:val="6"/>
            <w:shd w:val="clear" w:color="auto" w:fill="FFFFFF" w:themeFill="background1"/>
          </w:tcPr>
          <w:p w:rsidR="001C4E27" w:rsidRPr="001C4E27" w:rsidRDefault="001C4E27">
            <w:pPr>
              <w:rPr>
                <w:b/>
                <w:color w:val="FFFFFF" w:themeColor="background1"/>
                <w:sz w:val="24"/>
                <w:szCs w:val="24"/>
              </w:rPr>
            </w:pPr>
            <w:r w:rsidRPr="001C4E27">
              <w:rPr>
                <w:b/>
                <w:sz w:val="24"/>
                <w:szCs w:val="24"/>
              </w:rPr>
              <w:t>School:  Hallaton CE Primary School</w:t>
            </w:r>
          </w:p>
        </w:tc>
      </w:tr>
      <w:tr w:rsidR="001C4E27" w:rsidRPr="001C4E27" w:rsidTr="001C4E27">
        <w:tc>
          <w:tcPr>
            <w:tcW w:w="2426" w:type="dxa"/>
            <w:shd w:val="clear" w:color="auto" w:fill="FFFFFF" w:themeFill="background1"/>
          </w:tcPr>
          <w:p w:rsidR="001C4E27" w:rsidRPr="001C4E27" w:rsidRDefault="001C4E27">
            <w:pPr>
              <w:rPr>
                <w:sz w:val="24"/>
                <w:szCs w:val="24"/>
              </w:rPr>
            </w:pPr>
            <w:r w:rsidRPr="001C4E27">
              <w:rPr>
                <w:sz w:val="24"/>
                <w:szCs w:val="24"/>
              </w:rPr>
              <w:t>Academic Year</w:t>
            </w:r>
          </w:p>
        </w:tc>
        <w:tc>
          <w:tcPr>
            <w:tcW w:w="1538" w:type="dxa"/>
            <w:shd w:val="clear" w:color="auto" w:fill="FFFFFF" w:themeFill="background1"/>
          </w:tcPr>
          <w:p w:rsidR="001C4E27" w:rsidRPr="001C4E27" w:rsidRDefault="00BF4587">
            <w:pPr>
              <w:rPr>
                <w:sz w:val="24"/>
                <w:szCs w:val="24"/>
              </w:rPr>
            </w:pPr>
            <w:r>
              <w:rPr>
                <w:sz w:val="24"/>
                <w:szCs w:val="24"/>
              </w:rPr>
              <w:t>2020-22</w:t>
            </w:r>
          </w:p>
        </w:tc>
        <w:tc>
          <w:tcPr>
            <w:tcW w:w="3316" w:type="dxa"/>
            <w:shd w:val="clear" w:color="auto" w:fill="FFFFFF" w:themeFill="background1"/>
          </w:tcPr>
          <w:p w:rsidR="001C4E27" w:rsidRPr="001C4E27" w:rsidRDefault="001C4E27">
            <w:pPr>
              <w:rPr>
                <w:sz w:val="24"/>
                <w:szCs w:val="24"/>
              </w:rPr>
            </w:pPr>
            <w:r w:rsidRPr="001C4E27">
              <w:rPr>
                <w:sz w:val="24"/>
                <w:szCs w:val="24"/>
              </w:rPr>
              <w:t>Total Catch up Premium</w:t>
            </w:r>
          </w:p>
        </w:tc>
        <w:tc>
          <w:tcPr>
            <w:tcW w:w="2426" w:type="dxa"/>
            <w:shd w:val="clear" w:color="auto" w:fill="FFFFFF" w:themeFill="background1"/>
          </w:tcPr>
          <w:p w:rsidR="001C4E27" w:rsidRPr="001C4E27" w:rsidRDefault="001C4E27">
            <w:pPr>
              <w:rPr>
                <w:sz w:val="24"/>
                <w:szCs w:val="24"/>
              </w:rPr>
            </w:pPr>
            <w:r w:rsidRPr="001C4E27">
              <w:rPr>
                <w:sz w:val="24"/>
                <w:szCs w:val="24"/>
              </w:rPr>
              <w:t>£8,480</w:t>
            </w:r>
          </w:p>
        </w:tc>
        <w:tc>
          <w:tcPr>
            <w:tcW w:w="2427" w:type="dxa"/>
            <w:shd w:val="clear" w:color="auto" w:fill="FFFFFF" w:themeFill="background1"/>
          </w:tcPr>
          <w:p w:rsidR="001C4E27" w:rsidRPr="001C4E27" w:rsidRDefault="001C4E27">
            <w:pPr>
              <w:rPr>
                <w:sz w:val="24"/>
                <w:szCs w:val="24"/>
              </w:rPr>
            </w:pPr>
            <w:r w:rsidRPr="001C4E27">
              <w:rPr>
                <w:sz w:val="24"/>
                <w:szCs w:val="24"/>
              </w:rPr>
              <w:t>Number of Pupils</w:t>
            </w:r>
          </w:p>
        </w:tc>
        <w:tc>
          <w:tcPr>
            <w:tcW w:w="2427" w:type="dxa"/>
            <w:shd w:val="clear" w:color="auto" w:fill="FFFFFF" w:themeFill="background1"/>
          </w:tcPr>
          <w:p w:rsidR="001C4E27" w:rsidRPr="001C4E27" w:rsidRDefault="001C4E27">
            <w:pPr>
              <w:rPr>
                <w:sz w:val="24"/>
                <w:szCs w:val="24"/>
              </w:rPr>
            </w:pPr>
            <w:r w:rsidRPr="001C4E27">
              <w:rPr>
                <w:sz w:val="24"/>
                <w:szCs w:val="24"/>
              </w:rPr>
              <w:t>91</w:t>
            </w:r>
          </w:p>
        </w:tc>
      </w:tr>
    </w:tbl>
    <w:p w:rsidR="001C4E27" w:rsidRDefault="001C4E27">
      <w:pPr>
        <w:rPr>
          <w:b/>
          <w:sz w:val="32"/>
          <w:szCs w:val="32"/>
        </w:rPr>
      </w:pPr>
    </w:p>
    <w:tbl>
      <w:tblPr>
        <w:tblStyle w:val="TableGrid"/>
        <w:tblW w:w="0" w:type="auto"/>
        <w:tblLook w:val="04A0" w:firstRow="1" w:lastRow="0" w:firstColumn="1" w:lastColumn="0" w:noHBand="0" w:noVBand="1"/>
      </w:tblPr>
      <w:tblGrid>
        <w:gridCol w:w="7280"/>
        <w:gridCol w:w="7280"/>
      </w:tblGrid>
      <w:tr w:rsidR="001C4E27" w:rsidRPr="001C4E27" w:rsidTr="001C4E27">
        <w:tc>
          <w:tcPr>
            <w:tcW w:w="14560" w:type="dxa"/>
            <w:gridSpan w:val="2"/>
            <w:shd w:val="clear" w:color="auto" w:fill="FF0000"/>
          </w:tcPr>
          <w:p w:rsidR="001C4E27" w:rsidRPr="001C4E27" w:rsidRDefault="001C4E27">
            <w:pPr>
              <w:rPr>
                <w:b/>
                <w:color w:val="FFFFFF" w:themeColor="background1"/>
                <w:sz w:val="32"/>
                <w:szCs w:val="32"/>
              </w:rPr>
            </w:pPr>
            <w:r w:rsidRPr="001C4E27">
              <w:rPr>
                <w:b/>
                <w:color w:val="FFFFFF" w:themeColor="background1"/>
                <w:sz w:val="32"/>
                <w:szCs w:val="32"/>
              </w:rPr>
              <w:t>Guidance</w:t>
            </w:r>
          </w:p>
        </w:tc>
      </w:tr>
      <w:tr w:rsidR="001C4E27" w:rsidTr="001C4E27">
        <w:tc>
          <w:tcPr>
            <w:tcW w:w="14560" w:type="dxa"/>
            <w:gridSpan w:val="2"/>
          </w:tcPr>
          <w:p w:rsidR="00F20E9C" w:rsidRDefault="001C4E27">
            <w:r>
              <w:t xml:space="preserve">Children and young people across the country have experienced unprecedented disruption to their education as a result of coronavirus (COVID-19). Those from the most vulnerable and disadvantaged backgrounds will be among those hardest hit. </w:t>
            </w:r>
          </w:p>
          <w:p w:rsidR="00F20E9C" w:rsidRDefault="00F20E9C"/>
          <w:p w:rsidR="00F20E9C" w:rsidRDefault="001C4E27">
            <w:r>
              <w:t xml:space="preserve">Allocations will be calculated on a per pupil basis, providing each mainstream school with a total of £80 for each pupil in </w:t>
            </w:r>
            <w:proofErr w:type="gramStart"/>
            <w:r>
              <w:t>years</w:t>
            </w:r>
            <w:proofErr w:type="gramEnd"/>
            <w:r>
              <w:t xml:space="preserve"> reception through to 11. </w:t>
            </w:r>
          </w:p>
          <w:p w:rsidR="00F20E9C" w:rsidRDefault="00F20E9C"/>
          <w:p w:rsidR="001C4E27" w:rsidRDefault="001C4E27">
            <w: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rsidR="00F20E9C" w:rsidRDefault="00F20E9C">
            <w:pPr>
              <w:rPr>
                <w:b/>
                <w:sz w:val="32"/>
                <w:szCs w:val="32"/>
              </w:rPr>
            </w:pPr>
          </w:p>
        </w:tc>
      </w:tr>
      <w:tr w:rsidR="00F20E9C" w:rsidTr="00F20E9C">
        <w:tc>
          <w:tcPr>
            <w:tcW w:w="7280" w:type="dxa"/>
            <w:shd w:val="clear" w:color="auto" w:fill="FF0000"/>
          </w:tcPr>
          <w:p w:rsidR="00F20E9C" w:rsidRPr="00F20E9C" w:rsidRDefault="00F20E9C">
            <w:pPr>
              <w:rPr>
                <w:b/>
                <w:color w:val="FFFFFF" w:themeColor="background1"/>
                <w:sz w:val="32"/>
                <w:szCs w:val="32"/>
              </w:rPr>
            </w:pPr>
            <w:r>
              <w:rPr>
                <w:b/>
                <w:color w:val="FFFFFF" w:themeColor="background1"/>
                <w:sz w:val="32"/>
                <w:szCs w:val="32"/>
              </w:rPr>
              <w:t>Use of Funds</w:t>
            </w:r>
          </w:p>
        </w:tc>
        <w:tc>
          <w:tcPr>
            <w:tcW w:w="7280" w:type="dxa"/>
            <w:shd w:val="clear" w:color="auto" w:fill="FF0000"/>
          </w:tcPr>
          <w:p w:rsidR="00F20E9C" w:rsidRPr="00F20E9C" w:rsidRDefault="00F20E9C">
            <w:pPr>
              <w:rPr>
                <w:b/>
                <w:color w:val="FFFFFF" w:themeColor="background1"/>
                <w:sz w:val="32"/>
                <w:szCs w:val="32"/>
              </w:rPr>
            </w:pPr>
            <w:r>
              <w:rPr>
                <w:b/>
                <w:color w:val="FFFFFF" w:themeColor="background1"/>
                <w:sz w:val="32"/>
                <w:szCs w:val="32"/>
              </w:rPr>
              <w:t>EEF Recommendations</w:t>
            </w:r>
          </w:p>
        </w:tc>
      </w:tr>
      <w:tr w:rsidR="00F20E9C" w:rsidTr="00F20E9C">
        <w:tc>
          <w:tcPr>
            <w:tcW w:w="7280" w:type="dxa"/>
          </w:tcPr>
          <w:p w:rsidR="00F20E9C" w:rsidRDefault="00F20E9C" w:rsidP="00F20E9C">
            <w:r>
              <w:t xml:space="preserve">Schools should use this funding for specific activities to support their pupils to catch up for lost teaching over the previous months, in line with the guidance on curriculum expectations for the next academic year. </w:t>
            </w:r>
          </w:p>
          <w:p w:rsidR="00F20E9C" w:rsidRDefault="00F20E9C" w:rsidP="00F20E9C"/>
          <w:p w:rsidR="00F20E9C" w:rsidRDefault="00F20E9C" w:rsidP="00F20E9C">
            <w:r>
              <w:t xml:space="preserve">Schools have the flexibility to spend their funding in the best way for their cohort and circumstances. </w:t>
            </w:r>
          </w:p>
          <w:p w:rsidR="00F20E9C" w:rsidRDefault="00F20E9C" w:rsidP="00F20E9C"/>
          <w:p w:rsidR="00F20E9C" w:rsidRDefault="00F20E9C" w:rsidP="00F20E9C">
            <w:pPr>
              <w:rPr>
                <w:b/>
                <w:sz w:val="32"/>
                <w:szCs w:val="32"/>
              </w:rPr>
            </w:pPr>
            <w:r>
              <w:t xml:space="preserve">To support schools to make the best use of this funding, the Education Endowment Foundation (EEF) has published a coronavirus (COVID-19) support guide for schools with evidence-based approaches to catch up for all students. Schools should use this document to help them direct their additional funding in the most effective way. </w:t>
            </w:r>
          </w:p>
        </w:tc>
        <w:tc>
          <w:tcPr>
            <w:tcW w:w="7280" w:type="dxa"/>
          </w:tcPr>
          <w:p w:rsidR="00F20E9C" w:rsidRDefault="00F20E9C">
            <w:r>
              <w:t xml:space="preserve">The EEF advises the following: </w:t>
            </w:r>
          </w:p>
          <w:p w:rsidR="00F20E9C" w:rsidRDefault="00F20E9C">
            <w:r>
              <w:t xml:space="preserve">Teaching and whole school strategies </w:t>
            </w:r>
          </w:p>
          <w:p w:rsidR="00F20E9C" w:rsidRDefault="00F20E9C">
            <w:r>
              <w:rPr>
                <w:rFonts w:ascii="Segoe UI Symbol" w:hAnsi="Segoe UI Symbol" w:cs="Segoe UI Symbol"/>
              </w:rPr>
              <w:t>⮚</w:t>
            </w:r>
            <w:r>
              <w:t xml:space="preserve"> Supporting great teaching </w:t>
            </w:r>
          </w:p>
          <w:p w:rsidR="00F20E9C" w:rsidRDefault="00F20E9C">
            <w:r>
              <w:rPr>
                <w:rFonts w:ascii="Segoe UI Symbol" w:hAnsi="Segoe UI Symbol" w:cs="Segoe UI Symbol"/>
              </w:rPr>
              <w:t>⮚</w:t>
            </w:r>
            <w:r>
              <w:t xml:space="preserve"> Pupil assessment and feedback </w:t>
            </w:r>
          </w:p>
          <w:p w:rsidR="00F20E9C" w:rsidRDefault="00F20E9C">
            <w:r>
              <w:rPr>
                <w:rFonts w:ascii="Segoe UI Symbol" w:hAnsi="Segoe UI Symbol" w:cs="Segoe UI Symbol"/>
              </w:rPr>
              <w:t>⮚</w:t>
            </w:r>
            <w:r>
              <w:t xml:space="preserve"> Transition support </w:t>
            </w:r>
          </w:p>
          <w:p w:rsidR="00F20E9C" w:rsidRDefault="00F20E9C"/>
          <w:p w:rsidR="00F20E9C" w:rsidRDefault="00F20E9C">
            <w:r>
              <w:t xml:space="preserve">Targeted approaches </w:t>
            </w:r>
          </w:p>
          <w:p w:rsidR="00F20E9C" w:rsidRDefault="00F20E9C">
            <w:r>
              <w:rPr>
                <w:rFonts w:ascii="Segoe UI Symbol" w:hAnsi="Segoe UI Symbol" w:cs="Segoe UI Symbol"/>
              </w:rPr>
              <w:t>⮚</w:t>
            </w:r>
            <w:r>
              <w:t xml:space="preserve"> One to one and small group tuition </w:t>
            </w:r>
          </w:p>
          <w:p w:rsidR="00F20E9C" w:rsidRDefault="00F20E9C">
            <w:r>
              <w:rPr>
                <w:rFonts w:ascii="Segoe UI Symbol" w:hAnsi="Segoe UI Symbol" w:cs="Segoe UI Symbol"/>
              </w:rPr>
              <w:t>⮚</w:t>
            </w:r>
            <w:r>
              <w:t xml:space="preserve"> Intervention programmes </w:t>
            </w:r>
          </w:p>
          <w:p w:rsidR="00F20E9C" w:rsidRDefault="00F20E9C">
            <w:r>
              <w:rPr>
                <w:rFonts w:ascii="Segoe UI Symbol" w:hAnsi="Segoe UI Symbol" w:cs="Segoe UI Symbol"/>
              </w:rPr>
              <w:t>⮚</w:t>
            </w:r>
            <w:r>
              <w:t xml:space="preserve"> Extended school time </w:t>
            </w:r>
          </w:p>
          <w:p w:rsidR="00F20E9C" w:rsidRDefault="00F20E9C"/>
          <w:p w:rsidR="00F20E9C" w:rsidRDefault="00F20E9C">
            <w:r>
              <w:t xml:space="preserve">Wider strategies </w:t>
            </w:r>
          </w:p>
          <w:p w:rsidR="00F20E9C" w:rsidRDefault="00F20E9C">
            <w:r>
              <w:rPr>
                <w:rFonts w:ascii="Segoe UI Symbol" w:hAnsi="Segoe UI Symbol" w:cs="Segoe UI Symbol"/>
              </w:rPr>
              <w:t>⮚</w:t>
            </w:r>
            <w:r>
              <w:t xml:space="preserve"> Supporting parent and carers </w:t>
            </w:r>
          </w:p>
          <w:p w:rsidR="00F20E9C" w:rsidRDefault="00F20E9C">
            <w:r>
              <w:rPr>
                <w:rFonts w:ascii="Segoe UI Symbol" w:hAnsi="Segoe UI Symbol" w:cs="Segoe UI Symbol"/>
              </w:rPr>
              <w:t>⮚</w:t>
            </w:r>
            <w:r>
              <w:t xml:space="preserve"> Access to technology </w:t>
            </w:r>
          </w:p>
          <w:p w:rsidR="00F20E9C" w:rsidRDefault="00F20E9C">
            <w:pPr>
              <w:rPr>
                <w:b/>
                <w:sz w:val="32"/>
                <w:szCs w:val="32"/>
              </w:rPr>
            </w:pPr>
            <w:r>
              <w:rPr>
                <w:rFonts w:ascii="Segoe UI Symbol" w:hAnsi="Segoe UI Symbol" w:cs="Segoe UI Symbol"/>
              </w:rPr>
              <w:t>⮚</w:t>
            </w:r>
            <w:r>
              <w:t xml:space="preserve"> Summer support</w:t>
            </w:r>
          </w:p>
        </w:tc>
      </w:tr>
    </w:tbl>
    <w:p w:rsidR="00F20E9C" w:rsidRDefault="00F20E9C">
      <w:pPr>
        <w:rPr>
          <w:b/>
          <w:sz w:val="32"/>
          <w:szCs w:val="32"/>
        </w:rPr>
      </w:pPr>
    </w:p>
    <w:tbl>
      <w:tblPr>
        <w:tblStyle w:val="TableGrid"/>
        <w:tblW w:w="0" w:type="auto"/>
        <w:tblLook w:val="04A0" w:firstRow="1" w:lastRow="0" w:firstColumn="1" w:lastColumn="0" w:noHBand="0" w:noVBand="1"/>
      </w:tblPr>
      <w:tblGrid>
        <w:gridCol w:w="1980"/>
        <w:gridCol w:w="13714"/>
      </w:tblGrid>
      <w:tr w:rsidR="00F20E9C" w:rsidTr="00F20E9C">
        <w:tc>
          <w:tcPr>
            <w:tcW w:w="15694" w:type="dxa"/>
            <w:gridSpan w:val="2"/>
            <w:shd w:val="clear" w:color="auto" w:fill="FF0000"/>
          </w:tcPr>
          <w:p w:rsidR="00F20E9C" w:rsidRPr="00F20E9C" w:rsidRDefault="00F20E9C">
            <w:pPr>
              <w:rPr>
                <w:b/>
                <w:color w:val="FFFFFF" w:themeColor="background1"/>
                <w:sz w:val="32"/>
                <w:szCs w:val="32"/>
              </w:rPr>
            </w:pPr>
            <w:r>
              <w:rPr>
                <w:b/>
                <w:color w:val="FFFFFF" w:themeColor="background1"/>
                <w:sz w:val="32"/>
                <w:szCs w:val="32"/>
              </w:rPr>
              <w:t>Identified impact of lockdown</w:t>
            </w:r>
          </w:p>
        </w:tc>
      </w:tr>
      <w:tr w:rsidR="00F20E9C" w:rsidTr="00F20E9C">
        <w:tc>
          <w:tcPr>
            <w:tcW w:w="1980" w:type="dxa"/>
          </w:tcPr>
          <w:p w:rsidR="00F20E9C" w:rsidRDefault="00F20E9C">
            <w:pPr>
              <w:rPr>
                <w:b/>
                <w:sz w:val="32"/>
                <w:szCs w:val="32"/>
              </w:rPr>
            </w:pPr>
          </w:p>
          <w:p w:rsidR="00F20E9C" w:rsidRDefault="00F20E9C">
            <w:pPr>
              <w:rPr>
                <w:b/>
                <w:sz w:val="32"/>
                <w:szCs w:val="32"/>
              </w:rPr>
            </w:pPr>
            <w:r>
              <w:rPr>
                <w:b/>
                <w:sz w:val="32"/>
                <w:szCs w:val="32"/>
              </w:rPr>
              <w:t>Maths</w:t>
            </w:r>
          </w:p>
        </w:tc>
        <w:tc>
          <w:tcPr>
            <w:tcW w:w="13714" w:type="dxa"/>
          </w:tcPr>
          <w:p w:rsidR="00F20E9C" w:rsidRPr="00BF4587" w:rsidRDefault="00F20E9C">
            <w:pPr>
              <w:rPr>
                <w:sz w:val="24"/>
                <w:szCs w:val="24"/>
              </w:rPr>
            </w:pPr>
          </w:p>
          <w:p w:rsidR="00F20E9C" w:rsidRPr="00BF4587" w:rsidRDefault="00F20E9C">
            <w:pPr>
              <w:rPr>
                <w:b/>
                <w:sz w:val="24"/>
                <w:szCs w:val="24"/>
              </w:rPr>
            </w:pPr>
            <w:r w:rsidRPr="00BF4587">
              <w:rPr>
                <w:sz w:val="24"/>
                <w:szCs w:val="24"/>
              </w:rPr>
              <w:t>Specific content has been missed, leading to gaps in learning and stalled sequencing of journeys. Children still have an appetite for maths and lockdown has not affected their attitudes however they are quite simply, ‘behind’. Recall of basic skills has suffered – children are not able to recall addition facts, times tables and have forgotten once taught calculation strategies. This is reflected in arithmetic assessments</w:t>
            </w:r>
          </w:p>
        </w:tc>
      </w:tr>
      <w:tr w:rsidR="00F20E9C" w:rsidTr="00F20E9C">
        <w:tc>
          <w:tcPr>
            <w:tcW w:w="1980" w:type="dxa"/>
          </w:tcPr>
          <w:p w:rsidR="00F20E9C" w:rsidRDefault="00F20E9C">
            <w:pPr>
              <w:rPr>
                <w:b/>
                <w:sz w:val="32"/>
                <w:szCs w:val="32"/>
              </w:rPr>
            </w:pPr>
          </w:p>
          <w:p w:rsidR="00F20E9C" w:rsidRDefault="00F20E9C">
            <w:pPr>
              <w:rPr>
                <w:b/>
                <w:sz w:val="32"/>
                <w:szCs w:val="32"/>
              </w:rPr>
            </w:pPr>
          </w:p>
          <w:p w:rsidR="00F20E9C" w:rsidRDefault="00F20E9C">
            <w:pPr>
              <w:rPr>
                <w:b/>
                <w:sz w:val="32"/>
                <w:szCs w:val="32"/>
              </w:rPr>
            </w:pPr>
            <w:r>
              <w:rPr>
                <w:b/>
                <w:sz w:val="32"/>
                <w:szCs w:val="32"/>
              </w:rPr>
              <w:t>Writing</w:t>
            </w:r>
          </w:p>
          <w:p w:rsidR="00F20E9C" w:rsidRDefault="00F20E9C">
            <w:pPr>
              <w:rPr>
                <w:b/>
                <w:sz w:val="32"/>
                <w:szCs w:val="32"/>
              </w:rPr>
            </w:pPr>
          </w:p>
        </w:tc>
        <w:tc>
          <w:tcPr>
            <w:tcW w:w="13714" w:type="dxa"/>
          </w:tcPr>
          <w:p w:rsidR="00F20E9C" w:rsidRPr="00BF4587" w:rsidRDefault="00F20E9C">
            <w:pPr>
              <w:rPr>
                <w:b/>
                <w:sz w:val="24"/>
                <w:szCs w:val="24"/>
              </w:rPr>
            </w:pPr>
          </w:p>
          <w:p w:rsidR="00F20E9C" w:rsidRPr="00BF4587" w:rsidRDefault="00F20E9C">
            <w:pPr>
              <w:rPr>
                <w:sz w:val="24"/>
                <w:szCs w:val="24"/>
              </w:rPr>
            </w:pPr>
            <w:r w:rsidRPr="00BF4587">
              <w:rPr>
                <w:sz w:val="24"/>
                <w:szCs w:val="24"/>
              </w:rPr>
              <w:t>Children haven’t necessarily missed ‘units’ of learning in the same way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with writing stamina and improving their motivation due to the lack of fluency in their ability to write.</w:t>
            </w:r>
          </w:p>
          <w:p w:rsidR="00F20E9C" w:rsidRPr="00BF4587" w:rsidRDefault="00F20E9C">
            <w:pPr>
              <w:rPr>
                <w:b/>
                <w:sz w:val="24"/>
                <w:szCs w:val="24"/>
              </w:rPr>
            </w:pPr>
          </w:p>
        </w:tc>
      </w:tr>
      <w:tr w:rsidR="00F20E9C" w:rsidTr="00F20E9C">
        <w:tc>
          <w:tcPr>
            <w:tcW w:w="1980" w:type="dxa"/>
          </w:tcPr>
          <w:p w:rsidR="00F20E9C" w:rsidRDefault="00F20E9C">
            <w:pPr>
              <w:rPr>
                <w:b/>
                <w:sz w:val="32"/>
                <w:szCs w:val="32"/>
              </w:rPr>
            </w:pPr>
          </w:p>
          <w:p w:rsidR="00F20E9C" w:rsidRDefault="00F20E9C">
            <w:pPr>
              <w:rPr>
                <w:b/>
                <w:sz w:val="32"/>
                <w:szCs w:val="32"/>
              </w:rPr>
            </w:pPr>
          </w:p>
          <w:p w:rsidR="00F20E9C" w:rsidRDefault="00F20E9C">
            <w:pPr>
              <w:rPr>
                <w:b/>
                <w:sz w:val="32"/>
                <w:szCs w:val="32"/>
              </w:rPr>
            </w:pPr>
            <w:r>
              <w:rPr>
                <w:b/>
                <w:sz w:val="32"/>
                <w:szCs w:val="32"/>
              </w:rPr>
              <w:t>Reading</w:t>
            </w:r>
          </w:p>
          <w:p w:rsidR="00F20E9C" w:rsidRDefault="00F20E9C">
            <w:pPr>
              <w:rPr>
                <w:b/>
                <w:sz w:val="32"/>
                <w:szCs w:val="32"/>
              </w:rPr>
            </w:pPr>
          </w:p>
        </w:tc>
        <w:tc>
          <w:tcPr>
            <w:tcW w:w="13714" w:type="dxa"/>
          </w:tcPr>
          <w:p w:rsidR="00F20E9C" w:rsidRPr="00BF4587" w:rsidRDefault="00F20E9C">
            <w:pPr>
              <w:rPr>
                <w:b/>
                <w:sz w:val="24"/>
                <w:szCs w:val="24"/>
              </w:rPr>
            </w:pPr>
          </w:p>
          <w:p w:rsidR="00F20E9C" w:rsidRPr="00BF4587" w:rsidRDefault="00F20E9C">
            <w:pPr>
              <w:rPr>
                <w:sz w:val="24"/>
                <w:szCs w:val="24"/>
              </w:rPr>
            </w:pPr>
            <w:r w:rsidRPr="00BF4587">
              <w:rPr>
                <w:sz w:val="24"/>
                <w:szCs w:val="24"/>
              </w:rPr>
              <w:t>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w:t>
            </w:r>
          </w:p>
          <w:p w:rsidR="00F20E9C" w:rsidRPr="00BF4587" w:rsidRDefault="00F20E9C">
            <w:pPr>
              <w:rPr>
                <w:b/>
                <w:sz w:val="24"/>
                <w:szCs w:val="24"/>
              </w:rPr>
            </w:pPr>
          </w:p>
        </w:tc>
      </w:tr>
      <w:tr w:rsidR="00F20E9C" w:rsidTr="00F20E9C">
        <w:tc>
          <w:tcPr>
            <w:tcW w:w="1980" w:type="dxa"/>
          </w:tcPr>
          <w:p w:rsidR="00F20E9C" w:rsidRDefault="00F20E9C">
            <w:pPr>
              <w:rPr>
                <w:b/>
                <w:sz w:val="32"/>
                <w:szCs w:val="32"/>
              </w:rPr>
            </w:pPr>
          </w:p>
          <w:p w:rsidR="00F20E9C" w:rsidRDefault="00F20E9C">
            <w:pPr>
              <w:rPr>
                <w:b/>
                <w:sz w:val="32"/>
                <w:szCs w:val="32"/>
              </w:rPr>
            </w:pPr>
            <w:r>
              <w:rPr>
                <w:b/>
                <w:sz w:val="32"/>
                <w:szCs w:val="32"/>
              </w:rPr>
              <w:t>Non-Core</w:t>
            </w:r>
          </w:p>
          <w:p w:rsidR="00F20E9C" w:rsidRDefault="00F20E9C">
            <w:pPr>
              <w:rPr>
                <w:b/>
                <w:sz w:val="32"/>
                <w:szCs w:val="32"/>
              </w:rPr>
            </w:pPr>
          </w:p>
        </w:tc>
        <w:tc>
          <w:tcPr>
            <w:tcW w:w="13714" w:type="dxa"/>
          </w:tcPr>
          <w:p w:rsidR="00F20E9C" w:rsidRPr="00BF4587" w:rsidRDefault="00F20E9C">
            <w:pPr>
              <w:rPr>
                <w:b/>
                <w:sz w:val="24"/>
                <w:szCs w:val="24"/>
              </w:rPr>
            </w:pPr>
          </w:p>
          <w:p w:rsidR="00F20E9C" w:rsidRPr="00BF4587" w:rsidRDefault="00F20E9C">
            <w:pPr>
              <w:rPr>
                <w:sz w:val="24"/>
                <w:szCs w:val="24"/>
              </w:rPr>
            </w:pPr>
            <w:r w:rsidRPr="00BF4587">
              <w:rPr>
                <w:sz w:val="24"/>
                <w:szCs w:val="24"/>
              </w:rPr>
              <w:t>There are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p w:rsidR="00F20E9C" w:rsidRPr="00BF4587" w:rsidRDefault="00F20E9C">
            <w:pPr>
              <w:rPr>
                <w:b/>
                <w:sz w:val="24"/>
                <w:szCs w:val="24"/>
              </w:rPr>
            </w:pPr>
          </w:p>
        </w:tc>
      </w:tr>
    </w:tbl>
    <w:p w:rsidR="00F20E9C" w:rsidRPr="001C4E27" w:rsidRDefault="00F20E9C">
      <w:pPr>
        <w:rPr>
          <w:b/>
          <w:sz w:val="32"/>
          <w:szCs w:val="32"/>
        </w:rPr>
      </w:pPr>
    </w:p>
    <w:p w:rsidR="00F20E9C" w:rsidRDefault="00F20E9C">
      <w:r>
        <w:br w:type="page"/>
      </w:r>
      <w:bookmarkStart w:id="0" w:name="_GoBack"/>
      <w:bookmarkEnd w:id="0"/>
    </w:p>
    <w:tbl>
      <w:tblPr>
        <w:tblStyle w:val="TableGrid"/>
        <w:tblW w:w="0" w:type="auto"/>
        <w:tblLook w:val="04A0" w:firstRow="1" w:lastRow="0" w:firstColumn="1" w:lastColumn="0" w:noHBand="0" w:noVBand="1"/>
      </w:tblPr>
      <w:tblGrid>
        <w:gridCol w:w="4531"/>
        <w:gridCol w:w="4395"/>
        <w:gridCol w:w="3827"/>
        <w:gridCol w:w="1276"/>
        <w:gridCol w:w="1665"/>
      </w:tblGrid>
      <w:tr w:rsidR="00F20E9C" w:rsidRPr="00F20E9C" w:rsidTr="00F20E9C">
        <w:tc>
          <w:tcPr>
            <w:tcW w:w="15694" w:type="dxa"/>
            <w:gridSpan w:val="5"/>
            <w:shd w:val="clear" w:color="auto" w:fill="FF0000"/>
          </w:tcPr>
          <w:p w:rsidR="00F20E9C" w:rsidRPr="00F20E9C" w:rsidRDefault="00F20E9C">
            <w:pPr>
              <w:rPr>
                <w:b/>
                <w:color w:val="FFFFFF" w:themeColor="background1"/>
                <w:sz w:val="32"/>
                <w:szCs w:val="32"/>
              </w:rPr>
            </w:pPr>
            <w:r w:rsidRPr="00F20E9C">
              <w:rPr>
                <w:b/>
                <w:color w:val="FFFFFF" w:themeColor="background1"/>
                <w:sz w:val="32"/>
                <w:szCs w:val="32"/>
              </w:rPr>
              <w:lastRenderedPageBreak/>
              <w:t xml:space="preserve">Planned expenditure </w:t>
            </w:r>
          </w:p>
        </w:tc>
      </w:tr>
      <w:tr w:rsidR="00F20E9C" w:rsidRPr="00C92C62" w:rsidTr="00F20E9C">
        <w:tc>
          <w:tcPr>
            <w:tcW w:w="15694" w:type="dxa"/>
            <w:gridSpan w:val="5"/>
            <w:shd w:val="clear" w:color="auto" w:fill="D9D9D9" w:themeFill="background1" w:themeFillShade="D9"/>
          </w:tcPr>
          <w:p w:rsidR="00F20E9C" w:rsidRPr="00BF4587" w:rsidRDefault="00F20E9C" w:rsidP="00715800">
            <w:pPr>
              <w:rPr>
                <w:b/>
                <w:sz w:val="24"/>
                <w:szCs w:val="24"/>
              </w:rPr>
            </w:pPr>
            <w:r w:rsidRPr="00BF4587">
              <w:rPr>
                <w:b/>
                <w:sz w:val="24"/>
                <w:szCs w:val="24"/>
              </w:rPr>
              <w:t>Teaching and whole school strategies</w:t>
            </w:r>
          </w:p>
        </w:tc>
      </w:tr>
      <w:tr w:rsidR="00F20E9C" w:rsidRPr="00C92C62" w:rsidTr="00C92C62">
        <w:tc>
          <w:tcPr>
            <w:tcW w:w="4531" w:type="dxa"/>
          </w:tcPr>
          <w:p w:rsidR="00F20E9C" w:rsidRDefault="00F20E9C">
            <w:pPr>
              <w:rPr>
                <w:b/>
                <w:sz w:val="24"/>
                <w:szCs w:val="24"/>
              </w:rPr>
            </w:pPr>
            <w:r w:rsidRPr="00C92C62">
              <w:rPr>
                <w:b/>
                <w:sz w:val="24"/>
                <w:szCs w:val="24"/>
              </w:rPr>
              <w:t>Desired outcome</w:t>
            </w:r>
          </w:p>
          <w:p w:rsidR="00C92C62" w:rsidRPr="00C92C62" w:rsidRDefault="00C92C62">
            <w:pPr>
              <w:rPr>
                <w:b/>
                <w:sz w:val="24"/>
                <w:szCs w:val="24"/>
              </w:rPr>
            </w:pPr>
          </w:p>
        </w:tc>
        <w:tc>
          <w:tcPr>
            <w:tcW w:w="4395" w:type="dxa"/>
          </w:tcPr>
          <w:p w:rsidR="00F20E9C" w:rsidRPr="00C92C62" w:rsidRDefault="00F20E9C">
            <w:pPr>
              <w:rPr>
                <w:b/>
                <w:sz w:val="24"/>
                <w:szCs w:val="24"/>
              </w:rPr>
            </w:pPr>
            <w:r w:rsidRPr="00C92C62">
              <w:rPr>
                <w:b/>
                <w:sz w:val="24"/>
                <w:szCs w:val="24"/>
              </w:rPr>
              <w:t>Chosen approach and anticipated cost</w:t>
            </w:r>
          </w:p>
        </w:tc>
        <w:tc>
          <w:tcPr>
            <w:tcW w:w="3827" w:type="dxa"/>
          </w:tcPr>
          <w:p w:rsidR="00F20E9C" w:rsidRPr="00C92C62" w:rsidRDefault="00F20E9C">
            <w:pPr>
              <w:rPr>
                <w:b/>
                <w:sz w:val="24"/>
                <w:szCs w:val="24"/>
              </w:rPr>
            </w:pPr>
            <w:r w:rsidRPr="00C92C62">
              <w:rPr>
                <w:b/>
                <w:sz w:val="24"/>
                <w:szCs w:val="24"/>
              </w:rPr>
              <w:t>Impact (once reviewed)</w:t>
            </w:r>
          </w:p>
        </w:tc>
        <w:tc>
          <w:tcPr>
            <w:tcW w:w="1276" w:type="dxa"/>
          </w:tcPr>
          <w:p w:rsidR="00F20E9C" w:rsidRPr="00C92C62" w:rsidRDefault="00F20E9C">
            <w:pPr>
              <w:rPr>
                <w:b/>
                <w:sz w:val="24"/>
                <w:szCs w:val="24"/>
              </w:rPr>
            </w:pPr>
            <w:r w:rsidRPr="00C92C62">
              <w:rPr>
                <w:b/>
                <w:sz w:val="24"/>
                <w:szCs w:val="24"/>
              </w:rPr>
              <w:t>Staff Lead</w:t>
            </w:r>
          </w:p>
        </w:tc>
        <w:tc>
          <w:tcPr>
            <w:tcW w:w="1665" w:type="dxa"/>
          </w:tcPr>
          <w:p w:rsidR="00F20E9C" w:rsidRPr="00C92C62" w:rsidRDefault="00F20E9C">
            <w:pPr>
              <w:rPr>
                <w:b/>
                <w:sz w:val="24"/>
                <w:szCs w:val="24"/>
              </w:rPr>
            </w:pPr>
            <w:r w:rsidRPr="00C92C62">
              <w:rPr>
                <w:b/>
                <w:sz w:val="24"/>
                <w:szCs w:val="24"/>
              </w:rPr>
              <w:t>Review date?</w:t>
            </w:r>
          </w:p>
        </w:tc>
      </w:tr>
      <w:tr w:rsidR="00F20E9C" w:rsidRPr="00BF4587" w:rsidTr="00C92C62">
        <w:tc>
          <w:tcPr>
            <w:tcW w:w="4531" w:type="dxa"/>
          </w:tcPr>
          <w:p w:rsidR="00C92C62" w:rsidRPr="00BF4587" w:rsidRDefault="00C92C62">
            <w:r w:rsidRPr="00BF4587">
              <w:rPr>
                <w:u w:val="single"/>
              </w:rPr>
              <w:t>Teaching assessment and feedback</w:t>
            </w:r>
            <w:r w:rsidRPr="00BF4587">
              <w:t xml:space="preserve"> </w:t>
            </w:r>
          </w:p>
          <w:p w:rsidR="00C92C62" w:rsidRPr="00BF4587" w:rsidRDefault="00C92C62"/>
          <w:p w:rsidR="00F20E9C" w:rsidRPr="00BF4587" w:rsidRDefault="00C92C62">
            <w:r w:rsidRPr="00BF4587">
              <w:t>Teachers have a very clear understanding of what gaps in learning remain and use this to inform assessments of learning that are aligned with standardised norms, giving a greater degree in confidence and accuracy of assessments.</w:t>
            </w:r>
          </w:p>
          <w:p w:rsidR="00C92C62" w:rsidRPr="00BF4587" w:rsidRDefault="00C92C62"/>
        </w:tc>
        <w:tc>
          <w:tcPr>
            <w:tcW w:w="4395" w:type="dxa"/>
          </w:tcPr>
          <w:p w:rsidR="00C92C62" w:rsidRPr="00BF4587" w:rsidRDefault="00C92C62"/>
          <w:p w:rsidR="00F20E9C" w:rsidRPr="00BF4587" w:rsidRDefault="00C92C62">
            <w:r w:rsidRPr="00BF4587">
              <w:t xml:space="preserve">Use the </w:t>
            </w:r>
            <w:proofErr w:type="spellStart"/>
            <w:r w:rsidRPr="00BF4587">
              <w:t>Headstart</w:t>
            </w:r>
            <w:proofErr w:type="spellEnd"/>
            <w:r w:rsidRPr="00BF4587">
              <w:t xml:space="preserve"> Standardised Assessments suite. Complete termly tests and record assessments to identify gaps an on Insight to track performance.</w:t>
            </w:r>
          </w:p>
          <w:p w:rsidR="00BF4587" w:rsidRPr="00BF4587" w:rsidRDefault="00BF4587"/>
          <w:p w:rsidR="00BF4587" w:rsidRPr="00BF4587" w:rsidRDefault="00BF4587"/>
          <w:p w:rsidR="00BF4587" w:rsidRPr="00BF4587" w:rsidRDefault="00BF4587" w:rsidP="00BF4587">
            <w:pPr>
              <w:jc w:val="right"/>
            </w:pPr>
            <w:r w:rsidRPr="00BF4587">
              <w:t>£1170</w:t>
            </w:r>
          </w:p>
        </w:tc>
        <w:tc>
          <w:tcPr>
            <w:tcW w:w="3827" w:type="dxa"/>
          </w:tcPr>
          <w:p w:rsidR="00F20E9C" w:rsidRPr="00BF4587" w:rsidRDefault="00F20E9C"/>
        </w:tc>
        <w:tc>
          <w:tcPr>
            <w:tcW w:w="1276" w:type="dxa"/>
          </w:tcPr>
          <w:p w:rsidR="00F20E9C" w:rsidRPr="00BF4587" w:rsidRDefault="00F20E9C"/>
          <w:p w:rsidR="00715800" w:rsidRPr="00BF4587" w:rsidRDefault="00715800">
            <w:r w:rsidRPr="00BF4587">
              <w:t>All Staff</w:t>
            </w:r>
          </w:p>
        </w:tc>
        <w:tc>
          <w:tcPr>
            <w:tcW w:w="1665" w:type="dxa"/>
          </w:tcPr>
          <w:p w:rsidR="00F20E9C" w:rsidRPr="00BF4587" w:rsidRDefault="00F20E9C"/>
          <w:p w:rsidR="00BF4587" w:rsidRPr="00BF4587" w:rsidRDefault="00BF4587"/>
          <w:p w:rsidR="00BF4587" w:rsidRPr="00BF4587" w:rsidRDefault="00BF4587">
            <w:r w:rsidRPr="00BF4587">
              <w:t>June 22</w:t>
            </w:r>
          </w:p>
        </w:tc>
      </w:tr>
      <w:tr w:rsidR="00F20E9C" w:rsidRPr="00BF4587" w:rsidTr="00C92C62">
        <w:tc>
          <w:tcPr>
            <w:tcW w:w="4531" w:type="dxa"/>
          </w:tcPr>
          <w:p w:rsidR="00F20E9C" w:rsidRPr="00BF4587" w:rsidRDefault="00C92C62">
            <w:pPr>
              <w:rPr>
                <w:u w:val="single"/>
              </w:rPr>
            </w:pPr>
            <w:r w:rsidRPr="00BF4587">
              <w:rPr>
                <w:u w:val="single"/>
              </w:rPr>
              <w:t>Classroom Support</w:t>
            </w:r>
          </w:p>
          <w:p w:rsidR="00C92C62" w:rsidRPr="00BF4587" w:rsidRDefault="00C92C62"/>
          <w:p w:rsidR="00C92C62" w:rsidRPr="00BF4587" w:rsidRDefault="00C92C62">
            <w:r w:rsidRPr="00BF4587">
              <w:t>LSA support target according to need</w:t>
            </w:r>
          </w:p>
          <w:p w:rsidR="00C92C62" w:rsidRPr="00BF4587" w:rsidRDefault="00C92C62">
            <w:r w:rsidRPr="00BF4587">
              <w:t>Greatest amount of LSA support in Y1</w:t>
            </w:r>
          </w:p>
        </w:tc>
        <w:tc>
          <w:tcPr>
            <w:tcW w:w="4395" w:type="dxa"/>
          </w:tcPr>
          <w:p w:rsidR="00F20E9C" w:rsidRPr="00BF4587" w:rsidRDefault="00F20E9C"/>
          <w:p w:rsidR="00C92C62" w:rsidRPr="00BF4587" w:rsidRDefault="00C92C62"/>
          <w:p w:rsidR="00C92C62" w:rsidRPr="00BF4587" w:rsidRDefault="00C92C62">
            <w:r w:rsidRPr="00BF4587">
              <w:t>Forest School</w:t>
            </w:r>
          </w:p>
          <w:p w:rsidR="00C92C62" w:rsidRPr="00BF4587" w:rsidRDefault="00C92C62">
            <w:r w:rsidRPr="00BF4587">
              <w:t>To support the children’s SEMH</w:t>
            </w:r>
          </w:p>
          <w:p w:rsidR="00BF4587" w:rsidRPr="00BF4587" w:rsidRDefault="00BF4587"/>
          <w:p w:rsidR="00BF4587" w:rsidRPr="00BF4587" w:rsidRDefault="00BF4587">
            <w:r w:rsidRPr="00BF4587">
              <w:t xml:space="preserve">                                                  £40 </w:t>
            </w:r>
            <w:proofErr w:type="spellStart"/>
            <w:r w:rsidRPr="00BF4587">
              <w:t>ph</w:t>
            </w:r>
            <w:proofErr w:type="spellEnd"/>
            <w:r w:rsidRPr="00BF4587">
              <w:t xml:space="preserve"> = £880</w:t>
            </w:r>
          </w:p>
          <w:p w:rsidR="00C92C62" w:rsidRPr="00BF4587" w:rsidRDefault="00C92C62"/>
        </w:tc>
        <w:tc>
          <w:tcPr>
            <w:tcW w:w="3827" w:type="dxa"/>
          </w:tcPr>
          <w:p w:rsidR="00F20E9C" w:rsidRPr="00BF4587" w:rsidRDefault="00F20E9C"/>
        </w:tc>
        <w:tc>
          <w:tcPr>
            <w:tcW w:w="1276" w:type="dxa"/>
          </w:tcPr>
          <w:p w:rsidR="00F20E9C" w:rsidRPr="00BF4587" w:rsidRDefault="00F20E9C"/>
          <w:p w:rsidR="00BF4587" w:rsidRPr="00BF4587" w:rsidRDefault="00BF4587"/>
          <w:p w:rsidR="00BF4587" w:rsidRPr="00BF4587" w:rsidRDefault="00BF4587">
            <w:r w:rsidRPr="00BF4587">
              <w:t>DR</w:t>
            </w:r>
          </w:p>
        </w:tc>
        <w:tc>
          <w:tcPr>
            <w:tcW w:w="1665" w:type="dxa"/>
          </w:tcPr>
          <w:p w:rsidR="00F20E9C" w:rsidRPr="00BF4587" w:rsidRDefault="00F20E9C"/>
          <w:p w:rsidR="00BF4587" w:rsidRPr="00BF4587" w:rsidRDefault="00BF4587"/>
          <w:p w:rsidR="00BF4587" w:rsidRPr="00BF4587" w:rsidRDefault="00BF4587">
            <w:r w:rsidRPr="00BF4587">
              <w:t>July 22</w:t>
            </w:r>
          </w:p>
        </w:tc>
      </w:tr>
      <w:tr w:rsidR="00715800" w:rsidRPr="00BF4587" w:rsidTr="00C92C62">
        <w:tc>
          <w:tcPr>
            <w:tcW w:w="4531" w:type="dxa"/>
          </w:tcPr>
          <w:p w:rsidR="00715800" w:rsidRPr="00BF4587" w:rsidRDefault="00715800">
            <w:pPr>
              <w:rPr>
                <w:u w:val="single"/>
              </w:rPr>
            </w:pPr>
            <w:r w:rsidRPr="00BF4587">
              <w:rPr>
                <w:u w:val="single"/>
              </w:rPr>
              <w:t xml:space="preserve">Supporting </w:t>
            </w:r>
            <w:r w:rsidRPr="00BF4587">
              <w:rPr>
                <w:u w:val="single"/>
              </w:rPr>
              <w:t xml:space="preserve">teaching: </w:t>
            </w:r>
          </w:p>
          <w:p w:rsidR="00715800" w:rsidRPr="00BF4587" w:rsidRDefault="00715800"/>
          <w:p w:rsidR="00715800" w:rsidRPr="00BF4587" w:rsidRDefault="00715800">
            <w:pPr>
              <w:rPr>
                <w:u w:val="single"/>
              </w:rPr>
            </w:pPr>
            <w:r w:rsidRPr="00BF4587">
              <w:t>The foundation subject</w:t>
            </w:r>
            <w:r w:rsidRPr="00BF4587">
              <w:t>s</w:t>
            </w:r>
            <w:r w:rsidRPr="00BF4587">
              <w:t xml:space="preserve"> will be planned with increasing detail and consideration for how pre-requisite knowledge will be taught alongside new learning so that knowledge gaps can be reduced</w:t>
            </w:r>
          </w:p>
          <w:p w:rsidR="00715800" w:rsidRPr="00BF4587" w:rsidRDefault="00715800">
            <w:pPr>
              <w:rPr>
                <w:u w:val="single"/>
              </w:rPr>
            </w:pPr>
          </w:p>
        </w:tc>
        <w:tc>
          <w:tcPr>
            <w:tcW w:w="4395" w:type="dxa"/>
          </w:tcPr>
          <w:p w:rsidR="00715800" w:rsidRPr="00BF4587" w:rsidRDefault="00715800"/>
          <w:p w:rsidR="00715800" w:rsidRPr="00BF4587" w:rsidRDefault="00715800"/>
          <w:p w:rsidR="00715800" w:rsidRPr="00BF4587" w:rsidRDefault="00715800">
            <w:r w:rsidRPr="00BF4587">
              <w:t>Online courses and attendance at curriculum meetings</w:t>
            </w:r>
          </w:p>
          <w:p w:rsidR="00BF4587" w:rsidRPr="00BF4587" w:rsidRDefault="00BF4587"/>
          <w:p w:rsidR="00BF4587" w:rsidRPr="00BF4587" w:rsidRDefault="00BF4587"/>
          <w:p w:rsidR="00BF4587" w:rsidRPr="00BF4587" w:rsidRDefault="00BF4587" w:rsidP="00BF4587">
            <w:pPr>
              <w:jc w:val="right"/>
            </w:pPr>
            <w:r w:rsidRPr="00BF4587">
              <w:t xml:space="preserve">                                                             £650</w:t>
            </w:r>
          </w:p>
        </w:tc>
        <w:tc>
          <w:tcPr>
            <w:tcW w:w="3827" w:type="dxa"/>
          </w:tcPr>
          <w:p w:rsidR="00715800" w:rsidRPr="00BF4587" w:rsidRDefault="00715800"/>
        </w:tc>
        <w:tc>
          <w:tcPr>
            <w:tcW w:w="1276" w:type="dxa"/>
          </w:tcPr>
          <w:p w:rsidR="00715800" w:rsidRPr="00BF4587" w:rsidRDefault="00715800"/>
          <w:p w:rsidR="00BF4587" w:rsidRPr="00BF4587" w:rsidRDefault="00BF4587"/>
          <w:p w:rsidR="00BF4587" w:rsidRPr="00BF4587" w:rsidRDefault="00BF4587">
            <w:r w:rsidRPr="00BF4587">
              <w:t>All Staff</w:t>
            </w:r>
          </w:p>
        </w:tc>
        <w:tc>
          <w:tcPr>
            <w:tcW w:w="1665" w:type="dxa"/>
          </w:tcPr>
          <w:p w:rsidR="00715800" w:rsidRPr="00BF4587" w:rsidRDefault="00715800"/>
          <w:p w:rsidR="00BF4587" w:rsidRPr="00BF4587" w:rsidRDefault="00BF4587"/>
          <w:p w:rsidR="00BF4587" w:rsidRPr="00BF4587" w:rsidRDefault="00BF4587">
            <w:r w:rsidRPr="00BF4587">
              <w:t>June 22</w:t>
            </w:r>
          </w:p>
        </w:tc>
      </w:tr>
      <w:tr w:rsidR="00715800" w:rsidRPr="00BF4587" w:rsidTr="00C92C62">
        <w:tc>
          <w:tcPr>
            <w:tcW w:w="4531" w:type="dxa"/>
          </w:tcPr>
          <w:p w:rsidR="00715800" w:rsidRPr="00BF4587" w:rsidRDefault="00715800">
            <w:pPr>
              <w:rPr>
                <w:u w:val="single"/>
              </w:rPr>
            </w:pPr>
            <w:r w:rsidRPr="00BF4587">
              <w:rPr>
                <w:u w:val="single"/>
              </w:rPr>
              <w:t>Transition Support</w:t>
            </w:r>
          </w:p>
          <w:p w:rsidR="00715800" w:rsidRPr="00BF4587" w:rsidRDefault="00715800">
            <w:pPr>
              <w:rPr>
                <w:u w:val="single"/>
              </w:rPr>
            </w:pPr>
          </w:p>
          <w:p w:rsidR="00715800" w:rsidRPr="00BF4587" w:rsidRDefault="00715800">
            <w:r w:rsidRPr="00BF4587">
              <w:t xml:space="preserve">Children who </w:t>
            </w:r>
            <w:r w:rsidRPr="00BF4587">
              <w:t>on returning to school will have    additional support to settle into new classrooms and new routines.</w:t>
            </w:r>
          </w:p>
          <w:p w:rsidR="00715800" w:rsidRPr="00BF4587" w:rsidRDefault="00715800">
            <w:pPr>
              <w:rPr>
                <w:u w:val="single"/>
              </w:rPr>
            </w:pPr>
          </w:p>
        </w:tc>
        <w:tc>
          <w:tcPr>
            <w:tcW w:w="4395" w:type="dxa"/>
          </w:tcPr>
          <w:p w:rsidR="00715800" w:rsidRPr="00BF4587" w:rsidRDefault="00715800"/>
          <w:p w:rsidR="00715800" w:rsidRPr="00BF4587" w:rsidRDefault="00715800"/>
          <w:p w:rsidR="00715800" w:rsidRPr="00BF4587" w:rsidRDefault="00715800">
            <w:r w:rsidRPr="00BF4587">
              <w:t>Forest school activities</w:t>
            </w:r>
            <w:r w:rsidR="00BF4587" w:rsidRPr="00BF4587">
              <w:t>, equipment to continue activities in school</w:t>
            </w:r>
          </w:p>
          <w:p w:rsidR="00BF4587" w:rsidRPr="00BF4587" w:rsidRDefault="00BF4587">
            <w:r w:rsidRPr="00BF4587">
              <w:t>Additional resources for lunch and playtime</w:t>
            </w:r>
          </w:p>
          <w:p w:rsidR="00BF4587" w:rsidRPr="00BF4587" w:rsidRDefault="00BF4587" w:rsidP="00BF4587">
            <w:pPr>
              <w:jc w:val="right"/>
            </w:pPr>
            <w:r w:rsidRPr="00BF4587">
              <w:t>£740</w:t>
            </w:r>
          </w:p>
          <w:p w:rsidR="00BF4587" w:rsidRPr="00BF4587" w:rsidRDefault="00BF4587"/>
        </w:tc>
        <w:tc>
          <w:tcPr>
            <w:tcW w:w="3827" w:type="dxa"/>
          </w:tcPr>
          <w:p w:rsidR="00715800" w:rsidRPr="00BF4587" w:rsidRDefault="00715800"/>
        </w:tc>
        <w:tc>
          <w:tcPr>
            <w:tcW w:w="1276" w:type="dxa"/>
          </w:tcPr>
          <w:p w:rsidR="00715800" w:rsidRPr="00BF4587" w:rsidRDefault="00715800"/>
          <w:p w:rsidR="00BF4587" w:rsidRPr="00BF4587" w:rsidRDefault="00BF4587"/>
          <w:p w:rsidR="00BF4587" w:rsidRPr="00BF4587" w:rsidRDefault="00BF4587">
            <w:r w:rsidRPr="00BF4587">
              <w:t>All Staff</w:t>
            </w:r>
          </w:p>
        </w:tc>
        <w:tc>
          <w:tcPr>
            <w:tcW w:w="1665" w:type="dxa"/>
          </w:tcPr>
          <w:p w:rsidR="00715800" w:rsidRPr="00BF4587" w:rsidRDefault="00715800"/>
          <w:p w:rsidR="00BF4587" w:rsidRPr="00BF4587" w:rsidRDefault="00BF4587"/>
          <w:p w:rsidR="00BF4587" w:rsidRPr="00BF4587" w:rsidRDefault="00BF4587">
            <w:r w:rsidRPr="00BF4587">
              <w:t>June 22</w:t>
            </w:r>
          </w:p>
        </w:tc>
      </w:tr>
    </w:tbl>
    <w:p w:rsidR="00BF4587" w:rsidRDefault="00BF4587"/>
    <w:p w:rsidR="00BF4587" w:rsidRDefault="00BF4587">
      <w:r>
        <w:br w:type="page"/>
      </w:r>
    </w:p>
    <w:p w:rsidR="00715800" w:rsidRPr="00BF4587" w:rsidRDefault="00715800"/>
    <w:tbl>
      <w:tblPr>
        <w:tblStyle w:val="TableGrid"/>
        <w:tblW w:w="0" w:type="auto"/>
        <w:tblLook w:val="04A0" w:firstRow="1" w:lastRow="0" w:firstColumn="1" w:lastColumn="0" w:noHBand="0" w:noVBand="1"/>
      </w:tblPr>
      <w:tblGrid>
        <w:gridCol w:w="4531"/>
        <w:gridCol w:w="4395"/>
        <w:gridCol w:w="3827"/>
        <w:gridCol w:w="1276"/>
        <w:gridCol w:w="1665"/>
      </w:tblGrid>
      <w:tr w:rsidR="00715800" w:rsidRPr="00BF4587" w:rsidTr="00715800">
        <w:tc>
          <w:tcPr>
            <w:tcW w:w="15694" w:type="dxa"/>
            <w:gridSpan w:val="5"/>
            <w:shd w:val="clear" w:color="auto" w:fill="D9D9D9" w:themeFill="background1" w:themeFillShade="D9"/>
          </w:tcPr>
          <w:p w:rsidR="00715800" w:rsidRPr="00BF4587" w:rsidRDefault="00715800">
            <w:pPr>
              <w:rPr>
                <w:b/>
              </w:rPr>
            </w:pPr>
            <w:r w:rsidRPr="00BF4587">
              <w:rPr>
                <w:b/>
              </w:rPr>
              <w:t>Targeted Approaches</w:t>
            </w:r>
          </w:p>
        </w:tc>
      </w:tr>
      <w:tr w:rsidR="00715800" w:rsidRPr="00BF4587" w:rsidTr="00715800">
        <w:tc>
          <w:tcPr>
            <w:tcW w:w="4531" w:type="dxa"/>
            <w:shd w:val="clear" w:color="auto" w:fill="FFFFFF" w:themeFill="background1"/>
          </w:tcPr>
          <w:p w:rsidR="00715800" w:rsidRPr="00BF4587" w:rsidRDefault="00715800">
            <w:pPr>
              <w:rPr>
                <w:b/>
              </w:rPr>
            </w:pPr>
            <w:r w:rsidRPr="00BF4587">
              <w:rPr>
                <w:b/>
              </w:rPr>
              <w:t>Desired Outcome</w:t>
            </w:r>
          </w:p>
        </w:tc>
        <w:tc>
          <w:tcPr>
            <w:tcW w:w="4395" w:type="dxa"/>
            <w:shd w:val="clear" w:color="auto" w:fill="FFFFFF" w:themeFill="background1"/>
          </w:tcPr>
          <w:p w:rsidR="00715800" w:rsidRPr="00BF4587" w:rsidRDefault="00715800">
            <w:pPr>
              <w:rPr>
                <w:b/>
              </w:rPr>
            </w:pPr>
            <w:r w:rsidRPr="00BF4587">
              <w:rPr>
                <w:b/>
              </w:rPr>
              <w:t>Chosen action/approach</w:t>
            </w:r>
          </w:p>
        </w:tc>
        <w:tc>
          <w:tcPr>
            <w:tcW w:w="3827" w:type="dxa"/>
            <w:shd w:val="clear" w:color="auto" w:fill="FFFFFF" w:themeFill="background1"/>
          </w:tcPr>
          <w:p w:rsidR="00715800" w:rsidRPr="00BF4587" w:rsidRDefault="00715800">
            <w:pPr>
              <w:rPr>
                <w:b/>
              </w:rPr>
            </w:pPr>
            <w:r w:rsidRPr="00BF4587">
              <w:rPr>
                <w:b/>
              </w:rPr>
              <w:t>Impact (once reviewed)</w:t>
            </w:r>
          </w:p>
        </w:tc>
        <w:tc>
          <w:tcPr>
            <w:tcW w:w="1276" w:type="dxa"/>
            <w:shd w:val="clear" w:color="auto" w:fill="FFFFFF" w:themeFill="background1"/>
          </w:tcPr>
          <w:p w:rsidR="00715800" w:rsidRPr="00BF4587" w:rsidRDefault="00715800">
            <w:pPr>
              <w:rPr>
                <w:b/>
              </w:rPr>
            </w:pPr>
            <w:r w:rsidRPr="00BF4587">
              <w:rPr>
                <w:b/>
              </w:rPr>
              <w:t>Staff Lead</w:t>
            </w:r>
          </w:p>
        </w:tc>
        <w:tc>
          <w:tcPr>
            <w:tcW w:w="1665" w:type="dxa"/>
            <w:shd w:val="clear" w:color="auto" w:fill="FFFFFF" w:themeFill="background1"/>
          </w:tcPr>
          <w:p w:rsidR="00715800" w:rsidRPr="00BF4587" w:rsidRDefault="00715800">
            <w:pPr>
              <w:rPr>
                <w:b/>
              </w:rPr>
            </w:pPr>
            <w:r w:rsidRPr="00BF4587">
              <w:rPr>
                <w:b/>
              </w:rPr>
              <w:t>Review Date</w:t>
            </w:r>
          </w:p>
        </w:tc>
      </w:tr>
      <w:tr w:rsidR="00715800" w:rsidRPr="00BF4587" w:rsidTr="00972D10">
        <w:tc>
          <w:tcPr>
            <w:tcW w:w="4531" w:type="dxa"/>
          </w:tcPr>
          <w:p w:rsidR="00715800" w:rsidRPr="00BF4587" w:rsidRDefault="00715800" w:rsidP="00972D10">
            <w:pPr>
              <w:rPr>
                <w:u w:val="single"/>
              </w:rPr>
            </w:pPr>
            <w:r w:rsidRPr="00BF4587">
              <w:rPr>
                <w:u w:val="single"/>
              </w:rPr>
              <w:t>Intervention programmes</w:t>
            </w:r>
          </w:p>
          <w:p w:rsidR="00715800" w:rsidRPr="00BF4587" w:rsidRDefault="00715800" w:rsidP="00972D10"/>
          <w:p w:rsidR="00715800" w:rsidRPr="00BF4587" w:rsidRDefault="00715800" w:rsidP="00972D10">
            <w:r w:rsidRPr="00BF4587">
              <w:t xml:space="preserve">A number of children have specific learning difficulties which are more noticeable since lockdown. Expert teaching is required and strategies for follow up work with LSA’s given. </w:t>
            </w:r>
          </w:p>
          <w:p w:rsidR="00715800" w:rsidRPr="00BF4587" w:rsidRDefault="00715800" w:rsidP="00972D10"/>
          <w:p w:rsidR="00715800" w:rsidRPr="00BF4587" w:rsidRDefault="00715800" w:rsidP="00972D10">
            <w:r w:rsidRPr="00BF4587">
              <w:t>Individual and small group tuition for children across the school for English and Maths.</w:t>
            </w:r>
          </w:p>
          <w:p w:rsidR="00715800" w:rsidRPr="00BF4587" w:rsidRDefault="00715800" w:rsidP="00972D10"/>
          <w:p w:rsidR="00715800" w:rsidRPr="00BF4587" w:rsidRDefault="00715800" w:rsidP="00972D10">
            <w:r w:rsidRPr="00BF4587">
              <w:t>Children who are disadvantaged and significantly behind will receive additional screening to identify areas of need.</w:t>
            </w:r>
          </w:p>
          <w:p w:rsidR="00715800" w:rsidRPr="00BF4587" w:rsidRDefault="00715800" w:rsidP="00972D10"/>
        </w:tc>
        <w:tc>
          <w:tcPr>
            <w:tcW w:w="4395" w:type="dxa"/>
          </w:tcPr>
          <w:p w:rsidR="00715800" w:rsidRPr="00BF4587" w:rsidRDefault="00715800" w:rsidP="00972D10"/>
          <w:p w:rsidR="00715800" w:rsidRPr="00BF4587" w:rsidRDefault="00715800" w:rsidP="00972D10"/>
          <w:p w:rsidR="00715800" w:rsidRPr="00BF4587" w:rsidRDefault="00715800" w:rsidP="00972D10">
            <w:r w:rsidRPr="00BF4587">
              <w:t>Teacher release time to assess and deliver specific interventions and additional information on the schools monitoring list.</w:t>
            </w:r>
          </w:p>
          <w:p w:rsidR="00715800" w:rsidRPr="00BF4587" w:rsidRDefault="00715800" w:rsidP="00972D10"/>
          <w:p w:rsidR="00715800" w:rsidRPr="00BF4587" w:rsidRDefault="00715800" w:rsidP="00972D10">
            <w:r w:rsidRPr="00BF4587">
              <w:t>Dyslexia and Dyscalculia screeners purchased</w:t>
            </w:r>
          </w:p>
          <w:p w:rsidR="00715800" w:rsidRPr="00BF4587" w:rsidRDefault="00715800" w:rsidP="00972D10"/>
          <w:p w:rsidR="00715800" w:rsidRPr="00BF4587" w:rsidRDefault="00715800" w:rsidP="00972D10">
            <w:r w:rsidRPr="00BF4587">
              <w:t>LSA time</w:t>
            </w:r>
          </w:p>
          <w:p w:rsidR="00BF4587" w:rsidRPr="00BF4587" w:rsidRDefault="00BF4587" w:rsidP="00972D10"/>
          <w:p w:rsidR="00BF4587" w:rsidRPr="00BF4587" w:rsidRDefault="00BF4587" w:rsidP="00BF4587">
            <w:pPr>
              <w:jc w:val="right"/>
            </w:pPr>
            <w:r w:rsidRPr="00BF4587">
              <w:t xml:space="preserve">£3800         </w:t>
            </w:r>
          </w:p>
        </w:tc>
        <w:tc>
          <w:tcPr>
            <w:tcW w:w="3827" w:type="dxa"/>
          </w:tcPr>
          <w:p w:rsidR="00715800" w:rsidRPr="00BF4587" w:rsidRDefault="00715800" w:rsidP="00972D10"/>
        </w:tc>
        <w:tc>
          <w:tcPr>
            <w:tcW w:w="1276" w:type="dxa"/>
          </w:tcPr>
          <w:p w:rsidR="00715800" w:rsidRPr="00BF4587" w:rsidRDefault="00715800" w:rsidP="00972D10"/>
          <w:p w:rsidR="00BF4587" w:rsidRPr="00BF4587" w:rsidRDefault="00BF4587" w:rsidP="00972D10"/>
          <w:p w:rsidR="00BF4587" w:rsidRPr="00BF4587" w:rsidRDefault="00BF4587" w:rsidP="00972D10">
            <w:r w:rsidRPr="00BF4587">
              <w:t>ML</w:t>
            </w:r>
          </w:p>
          <w:p w:rsidR="00BF4587" w:rsidRPr="00BF4587" w:rsidRDefault="00BF4587" w:rsidP="00972D10">
            <w:r w:rsidRPr="00BF4587">
              <w:t>SM</w:t>
            </w:r>
          </w:p>
          <w:p w:rsidR="00BF4587" w:rsidRPr="00BF4587" w:rsidRDefault="00BF4587" w:rsidP="00972D10">
            <w:r w:rsidRPr="00BF4587">
              <w:t>DR</w:t>
            </w:r>
          </w:p>
          <w:p w:rsidR="00BF4587" w:rsidRPr="00BF4587" w:rsidRDefault="00BF4587" w:rsidP="00972D10">
            <w:r w:rsidRPr="00BF4587">
              <w:t>AR</w:t>
            </w:r>
          </w:p>
        </w:tc>
        <w:tc>
          <w:tcPr>
            <w:tcW w:w="1665" w:type="dxa"/>
          </w:tcPr>
          <w:p w:rsidR="00715800" w:rsidRPr="00BF4587" w:rsidRDefault="00715800" w:rsidP="00972D10"/>
          <w:p w:rsidR="00BF4587" w:rsidRPr="00BF4587" w:rsidRDefault="00BF4587" w:rsidP="00972D10"/>
          <w:p w:rsidR="00BF4587" w:rsidRPr="00BF4587" w:rsidRDefault="00BF4587" w:rsidP="00972D10"/>
          <w:p w:rsidR="00BF4587" w:rsidRPr="00BF4587" w:rsidRDefault="00BF4587" w:rsidP="00972D10">
            <w:r w:rsidRPr="00BF4587">
              <w:t>July 22</w:t>
            </w:r>
          </w:p>
        </w:tc>
      </w:tr>
      <w:tr w:rsidR="00715800" w:rsidRPr="00C92C62" w:rsidTr="00972D10">
        <w:tc>
          <w:tcPr>
            <w:tcW w:w="4531" w:type="dxa"/>
          </w:tcPr>
          <w:p w:rsidR="00715800" w:rsidRPr="00C92C62" w:rsidRDefault="00715800" w:rsidP="00972D10">
            <w:pPr>
              <w:rPr>
                <w:sz w:val="24"/>
                <w:szCs w:val="24"/>
                <w:u w:val="single"/>
              </w:rPr>
            </w:pPr>
            <w:r w:rsidRPr="00C92C62">
              <w:rPr>
                <w:sz w:val="24"/>
                <w:szCs w:val="24"/>
                <w:u w:val="single"/>
              </w:rPr>
              <w:t>Reading Progress</w:t>
            </w:r>
          </w:p>
          <w:p w:rsidR="00715800" w:rsidRDefault="00715800" w:rsidP="00972D10">
            <w:pPr>
              <w:rPr>
                <w:sz w:val="24"/>
                <w:szCs w:val="24"/>
              </w:rPr>
            </w:pPr>
          </w:p>
          <w:p w:rsidR="00715800" w:rsidRPr="00C92C62" w:rsidRDefault="00715800" w:rsidP="00972D10">
            <w:pPr>
              <w:rPr>
                <w:sz w:val="24"/>
                <w:szCs w:val="24"/>
              </w:rPr>
            </w:pPr>
            <w:r>
              <w:rPr>
                <w:sz w:val="24"/>
                <w:szCs w:val="24"/>
              </w:rPr>
              <w:t>Some children will have significantly increased rates of reading fluency and understanding. Their comprehension skills will be improved with increased reading confidence.</w:t>
            </w:r>
          </w:p>
        </w:tc>
        <w:tc>
          <w:tcPr>
            <w:tcW w:w="4395" w:type="dxa"/>
          </w:tcPr>
          <w:p w:rsidR="00715800" w:rsidRDefault="00715800" w:rsidP="00972D10">
            <w:pPr>
              <w:rPr>
                <w:sz w:val="24"/>
                <w:szCs w:val="24"/>
              </w:rPr>
            </w:pPr>
          </w:p>
          <w:p w:rsidR="00715800" w:rsidRDefault="00715800" w:rsidP="00972D10">
            <w:pPr>
              <w:rPr>
                <w:sz w:val="24"/>
                <w:szCs w:val="24"/>
              </w:rPr>
            </w:pPr>
          </w:p>
          <w:p w:rsidR="00715800" w:rsidRDefault="00715800" w:rsidP="00972D10">
            <w:pPr>
              <w:rPr>
                <w:sz w:val="24"/>
                <w:szCs w:val="24"/>
              </w:rPr>
            </w:pPr>
            <w:r>
              <w:rPr>
                <w:sz w:val="24"/>
                <w:szCs w:val="24"/>
              </w:rPr>
              <w:t>Additional NFER tests purchased to give more data points as a reference for tracking progress</w:t>
            </w:r>
          </w:p>
          <w:p w:rsidR="00BF4587" w:rsidRDefault="00BF4587" w:rsidP="00972D10">
            <w:pPr>
              <w:rPr>
                <w:sz w:val="24"/>
                <w:szCs w:val="24"/>
              </w:rPr>
            </w:pPr>
          </w:p>
          <w:p w:rsidR="00BF4587" w:rsidRPr="00C92C62" w:rsidRDefault="00BF4587" w:rsidP="00BF4587">
            <w:pPr>
              <w:jc w:val="right"/>
              <w:rPr>
                <w:sz w:val="24"/>
                <w:szCs w:val="24"/>
              </w:rPr>
            </w:pPr>
            <w:r>
              <w:rPr>
                <w:sz w:val="24"/>
                <w:szCs w:val="24"/>
              </w:rPr>
              <w:t>£1240</w:t>
            </w:r>
          </w:p>
        </w:tc>
        <w:tc>
          <w:tcPr>
            <w:tcW w:w="3827" w:type="dxa"/>
          </w:tcPr>
          <w:p w:rsidR="00715800" w:rsidRPr="00C92C62" w:rsidRDefault="00715800" w:rsidP="00972D10">
            <w:pPr>
              <w:rPr>
                <w:sz w:val="24"/>
                <w:szCs w:val="24"/>
              </w:rPr>
            </w:pPr>
          </w:p>
        </w:tc>
        <w:tc>
          <w:tcPr>
            <w:tcW w:w="1276" w:type="dxa"/>
          </w:tcPr>
          <w:p w:rsidR="00715800" w:rsidRDefault="00715800" w:rsidP="00972D10">
            <w:pPr>
              <w:rPr>
                <w:sz w:val="24"/>
                <w:szCs w:val="24"/>
              </w:rPr>
            </w:pPr>
          </w:p>
          <w:p w:rsidR="00BF4587" w:rsidRDefault="00BF4587" w:rsidP="00972D10">
            <w:pPr>
              <w:rPr>
                <w:sz w:val="24"/>
                <w:szCs w:val="24"/>
              </w:rPr>
            </w:pPr>
          </w:p>
          <w:p w:rsidR="00BF4587" w:rsidRDefault="00BF4587" w:rsidP="00972D10">
            <w:pPr>
              <w:rPr>
                <w:sz w:val="24"/>
                <w:szCs w:val="24"/>
              </w:rPr>
            </w:pPr>
            <w:r>
              <w:rPr>
                <w:sz w:val="24"/>
                <w:szCs w:val="24"/>
              </w:rPr>
              <w:t>NH</w:t>
            </w:r>
          </w:p>
          <w:p w:rsidR="00BF4587" w:rsidRPr="00C92C62" w:rsidRDefault="00BF4587" w:rsidP="00972D10">
            <w:pPr>
              <w:rPr>
                <w:sz w:val="24"/>
                <w:szCs w:val="24"/>
              </w:rPr>
            </w:pPr>
            <w:r>
              <w:rPr>
                <w:sz w:val="24"/>
                <w:szCs w:val="24"/>
              </w:rPr>
              <w:t>DR</w:t>
            </w:r>
          </w:p>
        </w:tc>
        <w:tc>
          <w:tcPr>
            <w:tcW w:w="1665" w:type="dxa"/>
          </w:tcPr>
          <w:p w:rsidR="00715800" w:rsidRDefault="00715800" w:rsidP="00972D10">
            <w:pPr>
              <w:rPr>
                <w:sz w:val="24"/>
                <w:szCs w:val="24"/>
              </w:rPr>
            </w:pPr>
          </w:p>
          <w:p w:rsidR="00BF4587" w:rsidRDefault="00BF4587" w:rsidP="00972D10">
            <w:pPr>
              <w:rPr>
                <w:sz w:val="24"/>
                <w:szCs w:val="24"/>
              </w:rPr>
            </w:pPr>
          </w:p>
          <w:p w:rsidR="00BF4587" w:rsidRPr="00C92C62" w:rsidRDefault="00BF4587" w:rsidP="00972D10">
            <w:pPr>
              <w:rPr>
                <w:sz w:val="24"/>
                <w:szCs w:val="24"/>
              </w:rPr>
            </w:pPr>
            <w:r>
              <w:rPr>
                <w:sz w:val="24"/>
                <w:szCs w:val="24"/>
              </w:rPr>
              <w:t>June 22</w:t>
            </w:r>
          </w:p>
        </w:tc>
      </w:tr>
    </w:tbl>
    <w:p w:rsidR="001C4E27" w:rsidRDefault="001C4E27"/>
    <w:p w:rsidR="001C4E27" w:rsidRDefault="001C4E27"/>
    <w:sectPr w:rsidR="001C4E27" w:rsidSect="00F20E9C">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A45A3"/>
    <w:multiLevelType w:val="hybridMultilevel"/>
    <w:tmpl w:val="E612E7EC"/>
    <w:lvl w:ilvl="0" w:tplc="8F74CA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27"/>
    <w:rsid w:val="001C4E27"/>
    <w:rsid w:val="005B4263"/>
    <w:rsid w:val="00715800"/>
    <w:rsid w:val="00AA38BB"/>
    <w:rsid w:val="00BF4587"/>
    <w:rsid w:val="00C92C62"/>
    <w:rsid w:val="00F20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A308"/>
  <w15:chartTrackingRefBased/>
  <w15:docId w15:val="{836A0D63-7C49-4358-A22E-3CFFD89A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Hallaton Office</dc:creator>
  <cp:keywords/>
  <dc:description/>
  <cp:lastModifiedBy>Hallaton Office</cp:lastModifiedBy>
  <cp:revision>1</cp:revision>
  <dcterms:created xsi:type="dcterms:W3CDTF">2022-05-16T17:33:00Z</dcterms:created>
  <dcterms:modified xsi:type="dcterms:W3CDTF">2022-05-16T18:22:00Z</dcterms:modified>
</cp:coreProperties>
</file>